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725B" w14:textId="6114C7C2" w:rsidR="00EC771C" w:rsidRDefault="00EC771C" w:rsidP="00EC771C">
      <w:pPr>
        <w:widowControl w:val="0"/>
        <w:spacing w:before="240" w:after="120" w:line="240" w:lineRule="auto"/>
        <w:ind w:firstLine="720"/>
        <w:contextualSpacing/>
        <w:outlineLvl w:val="2"/>
        <w:rPr>
          <w:rFonts w:ascii="Karla" w:eastAsia="Karla" w:hAnsi="Karla" w:cs="Calibri (Body)"/>
          <w:b/>
          <w:bCs/>
          <w:noProof/>
          <w:color w:val="379886"/>
          <w:spacing w:val="-20"/>
          <w:sz w:val="24"/>
          <w:szCs w:val="36"/>
        </w:rPr>
      </w:pPr>
      <w:r>
        <w:rPr>
          <w:rFonts w:ascii="Karla" w:eastAsia="Karla" w:hAnsi="Karla" w:cs="Calibri (Body)"/>
          <w:b/>
          <w:bCs/>
          <w:noProof/>
          <w:color w:val="379886"/>
          <w:spacing w:val="-20"/>
          <w:sz w:val="24"/>
          <w:szCs w:val="36"/>
        </w:rPr>
        <w:drawing>
          <wp:anchor distT="0" distB="0" distL="114300" distR="114300" simplePos="0" relativeHeight="251659264" behindDoc="0" locked="0" layoutInCell="1" allowOverlap="1" wp14:anchorId="0E810BE8" wp14:editId="0BCB8D85">
            <wp:simplePos x="0" y="0"/>
            <wp:positionH relativeFrom="column">
              <wp:posOffset>125730</wp:posOffset>
            </wp:positionH>
            <wp:positionV relativeFrom="paragraph">
              <wp:posOffset>-69215</wp:posOffset>
            </wp:positionV>
            <wp:extent cx="280670" cy="286385"/>
            <wp:effectExtent l="0" t="0" r="5080" b="0"/>
            <wp:wrapNone/>
            <wp:docPr id="298659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286385"/>
                    </a:xfrm>
                    <a:prstGeom prst="rect">
                      <a:avLst/>
                    </a:prstGeom>
                    <a:noFill/>
                  </pic:spPr>
                </pic:pic>
              </a:graphicData>
            </a:graphic>
          </wp:anchor>
        </w:drawing>
      </w:r>
      <w:r>
        <w:rPr>
          <w:rFonts w:ascii="Karla" w:eastAsia="Karla" w:hAnsi="Karla" w:cs="Calibri (Body)"/>
          <w:b/>
          <w:bCs/>
          <w:noProof/>
          <w:color w:val="379886"/>
          <w:spacing w:val="-20"/>
          <w:sz w:val="24"/>
          <w:szCs w:val="36"/>
        </w:rPr>
        <w:drawing>
          <wp:anchor distT="0" distB="0" distL="114300" distR="114300" simplePos="0" relativeHeight="251658240" behindDoc="0" locked="0" layoutInCell="1" allowOverlap="1" wp14:anchorId="668AD544" wp14:editId="43FACC10">
            <wp:simplePos x="0" y="0"/>
            <wp:positionH relativeFrom="column">
              <wp:posOffset>-269240</wp:posOffset>
            </wp:positionH>
            <wp:positionV relativeFrom="paragraph">
              <wp:posOffset>-156210</wp:posOffset>
            </wp:positionV>
            <wp:extent cx="426720" cy="481330"/>
            <wp:effectExtent l="0" t="0" r="0" b="0"/>
            <wp:wrapNone/>
            <wp:docPr id="153960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 cy="481330"/>
                    </a:xfrm>
                    <a:prstGeom prst="rect">
                      <a:avLst/>
                    </a:prstGeom>
                    <a:noFill/>
                  </pic:spPr>
                </pic:pic>
              </a:graphicData>
            </a:graphic>
          </wp:anchor>
        </w:drawing>
      </w:r>
      <w:r w:rsidRPr="00EC771C">
        <w:rPr>
          <w:rFonts w:ascii="Karla" w:eastAsia="Karla" w:hAnsi="Karla" w:cs="Calibri (Body)"/>
          <w:b/>
          <w:bCs/>
          <w:noProof/>
          <w:color w:val="379886"/>
          <w:spacing w:val="-20"/>
          <w:sz w:val="24"/>
          <w:szCs w:val="36"/>
        </w:rPr>
        <w:t xml:space="preserve">4.3.2 Review and Strengthen the Process </w:t>
      </w:r>
    </w:p>
    <w:p w14:paraId="13D406BE" w14:textId="209014EC" w:rsidR="00EC771C" w:rsidRPr="00EC771C" w:rsidRDefault="00EC771C" w:rsidP="00EC771C">
      <w:pPr>
        <w:widowControl w:val="0"/>
        <w:spacing w:before="240" w:after="120" w:line="240" w:lineRule="auto"/>
        <w:contextualSpacing/>
        <w:outlineLvl w:val="2"/>
        <w:rPr>
          <w:rFonts w:ascii="Karla" w:eastAsia="Karla" w:hAnsi="Karla" w:cs="Calibri (Body)"/>
          <w:b/>
          <w:bCs/>
          <w:noProof/>
          <w:color w:val="379886"/>
          <w:spacing w:val="-20"/>
          <w:sz w:val="24"/>
          <w:szCs w:val="36"/>
        </w:rPr>
      </w:pPr>
      <w:r w:rsidRPr="00EC771C">
        <w:rPr>
          <w:rFonts w:ascii="Karla" w:eastAsia="Karla" w:hAnsi="Karla" w:cs="Calibri (Body)"/>
          <w:b/>
          <w:bCs/>
          <w:noProof/>
          <w:color w:val="379886"/>
          <w:spacing w:val="-20"/>
          <w:sz w:val="24"/>
          <w:szCs w:val="36"/>
        </w:rPr>
        <w:tab/>
      </w:r>
      <w:r w:rsidRPr="00EC771C">
        <w:rPr>
          <w:rFonts w:ascii="Karla" w:eastAsia="Karla" w:hAnsi="Karla" w:cs="Calibri (Body)"/>
          <w:b/>
          <w:bCs/>
          <w:noProof/>
          <w:color w:val="379886"/>
          <w:spacing w:val="-20"/>
          <w:sz w:val="24"/>
          <w:szCs w:val="36"/>
        </w:rPr>
        <w:tab/>
      </w:r>
    </w:p>
    <w:p w14:paraId="481352A2" w14:textId="77777777" w:rsidR="00EC771C" w:rsidRPr="00EC771C" w:rsidRDefault="00EC771C" w:rsidP="00EC771C">
      <w:pPr>
        <w:widowControl w:val="0"/>
        <w:tabs>
          <w:tab w:val="left" w:pos="6900"/>
        </w:tabs>
        <w:spacing w:after="120" w:line="240" w:lineRule="auto"/>
        <w:jc w:val="both"/>
        <w:rPr>
          <w:rFonts w:ascii="Karla" w:eastAsia="Karla" w:hAnsi="Karla" w:cs="Karla"/>
          <w:b/>
          <w:bCs/>
          <w:color w:val="3E3E3E"/>
        </w:rPr>
      </w:pPr>
      <w:r w:rsidRPr="00EC771C">
        <w:rPr>
          <w:rFonts w:ascii="Karla" w:eastAsia="Karla" w:hAnsi="Karla" w:cs="Karla"/>
          <w:b/>
          <w:bCs/>
          <w:color w:val="3E3E3E"/>
        </w:rPr>
        <w:t>Review and strengthen the process for booking review appointments for any patient you put onto a Chronic Condition Management Plan, or with an existing Chronic Disease Management Plan.</w:t>
      </w:r>
    </w:p>
    <w:p w14:paraId="2855DFC1" w14:textId="77777777" w:rsidR="00EC771C" w:rsidRPr="00EC771C" w:rsidRDefault="00EC771C" w:rsidP="00EC771C">
      <w:pPr>
        <w:widowControl w:val="0"/>
        <w:numPr>
          <w:ilvl w:val="2"/>
          <w:numId w:val="46"/>
        </w:numPr>
        <w:tabs>
          <w:tab w:val="left" w:pos="6900"/>
        </w:tabs>
        <w:spacing w:after="120" w:line="240" w:lineRule="auto"/>
        <w:ind w:left="850" w:hanging="425"/>
        <w:jc w:val="both"/>
        <w:rPr>
          <w:rFonts w:ascii="Karla" w:eastAsia="Karla" w:hAnsi="Karla" w:cs="Karla"/>
          <w:color w:val="3E3E3E"/>
        </w:rPr>
      </w:pPr>
      <w:r w:rsidRPr="00EC771C">
        <w:rPr>
          <w:rFonts w:ascii="Karla" w:eastAsia="Karla" w:hAnsi="Karla" w:cs="Karla"/>
          <w:color w:val="3E3E3E"/>
        </w:rPr>
        <w:t xml:space="preserve">Consider and develop a method for how your practice will approach scheduling review appointments. Ideally, the next review appointment, or a cycle of review appointments will be scheduled at the time of the initial care plan or immediately following each review of the care plan. Consider your practices review appointment frequency and ensure that your clinical team’s review instructions are incorporated into your </w:t>
      </w:r>
      <w:proofErr w:type="gramStart"/>
      <w:r w:rsidRPr="00EC771C">
        <w:rPr>
          <w:rFonts w:ascii="Karla" w:eastAsia="Karla" w:hAnsi="Karla" w:cs="Karla"/>
          <w:color w:val="3E3E3E"/>
        </w:rPr>
        <w:t>work flows</w:t>
      </w:r>
      <w:proofErr w:type="gramEnd"/>
      <w:r w:rsidRPr="00EC771C">
        <w:rPr>
          <w:rFonts w:ascii="Karla" w:eastAsia="Karla" w:hAnsi="Karla" w:cs="Karla"/>
          <w:color w:val="3E3E3E"/>
        </w:rPr>
        <w:t xml:space="preserve">. </w:t>
      </w:r>
    </w:p>
    <w:p w14:paraId="0175ACDC" w14:textId="77777777" w:rsidR="00EC771C" w:rsidRPr="00EC771C" w:rsidRDefault="00EC771C" w:rsidP="00EC771C">
      <w:pPr>
        <w:widowControl w:val="0"/>
        <w:numPr>
          <w:ilvl w:val="2"/>
          <w:numId w:val="46"/>
        </w:numPr>
        <w:tabs>
          <w:tab w:val="left" w:pos="6900"/>
        </w:tabs>
        <w:spacing w:after="120" w:line="240" w:lineRule="auto"/>
        <w:ind w:left="850" w:hanging="425"/>
        <w:jc w:val="both"/>
        <w:rPr>
          <w:rFonts w:ascii="Karla" w:eastAsia="Karla" w:hAnsi="Karla" w:cs="Karla"/>
          <w:color w:val="3E3E3E"/>
        </w:rPr>
      </w:pPr>
      <w:r w:rsidRPr="00EC771C">
        <w:rPr>
          <w:rFonts w:ascii="Karla" w:eastAsia="Karla" w:hAnsi="Karla" w:cs="Karla"/>
          <w:color w:val="3E3E3E"/>
        </w:rPr>
        <w:t>Develop workflows for reception – to ensure that as the patient is handed over to reception, and before they leave your practice, reception has an action to schedule their next appointment, understands the timeframe for review to inform scheduling, and communicates the appointment time and date clearly to the patient (SMS, or reminder card, or other).</w:t>
      </w:r>
    </w:p>
    <w:p w14:paraId="1A751AD0" w14:textId="77777777" w:rsidR="00EC771C" w:rsidRPr="00EC771C" w:rsidRDefault="00EC771C" w:rsidP="00EC771C">
      <w:pPr>
        <w:widowControl w:val="0"/>
        <w:numPr>
          <w:ilvl w:val="2"/>
          <w:numId w:val="46"/>
        </w:numPr>
        <w:tabs>
          <w:tab w:val="left" w:pos="6900"/>
        </w:tabs>
        <w:spacing w:after="120" w:line="240" w:lineRule="auto"/>
        <w:ind w:left="850" w:hanging="425"/>
        <w:jc w:val="both"/>
        <w:rPr>
          <w:rFonts w:ascii="Karla" w:eastAsia="Karla" w:hAnsi="Karla" w:cs="Karla"/>
          <w:color w:val="3E3E3E"/>
        </w:rPr>
      </w:pPr>
      <w:r w:rsidRPr="00EC771C">
        <w:rPr>
          <w:rFonts w:ascii="Karla" w:eastAsia="Karla" w:hAnsi="Karla" w:cs="Karla"/>
          <w:color w:val="3E3E3E"/>
        </w:rPr>
        <w:t>Develop a process for appointment reminders in leadup to review appointments – frequency (e.g. 1 week and 24 hours) and modality (phone call or SMS) to ensure your attendance rates for review appointments remain high. You may wish to include a message for each patient to check Medicare Online to ensure they are registered for MyMedicare with your practice, and document any questions they have to bring to the appointment.</w:t>
      </w:r>
    </w:p>
    <w:p w14:paraId="19925B75" w14:textId="77777777" w:rsidR="00EC771C" w:rsidRPr="00EC771C" w:rsidRDefault="00EC771C" w:rsidP="00EC771C">
      <w:pPr>
        <w:widowControl w:val="0"/>
        <w:tabs>
          <w:tab w:val="left" w:pos="6900"/>
        </w:tabs>
        <w:spacing w:after="120" w:line="240" w:lineRule="auto"/>
        <w:ind w:left="850"/>
        <w:jc w:val="both"/>
        <w:rPr>
          <w:rFonts w:ascii="Karla" w:eastAsia="Karla" w:hAnsi="Karla" w:cs="Karla"/>
          <w:color w:val="3E3E3E"/>
        </w:rPr>
      </w:pPr>
    </w:p>
    <w:p w14:paraId="1ECB57D5" w14:textId="77777777" w:rsidR="00EC771C" w:rsidRPr="00EC771C" w:rsidRDefault="00EC771C" w:rsidP="00EC771C">
      <w:pPr>
        <w:widowControl w:val="0"/>
        <w:tabs>
          <w:tab w:val="left" w:pos="6900"/>
        </w:tabs>
        <w:spacing w:after="120" w:line="240" w:lineRule="auto"/>
        <w:jc w:val="both"/>
        <w:rPr>
          <w:rFonts w:ascii="Karla" w:eastAsia="Karla" w:hAnsi="Karla" w:cs="Karla"/>
          <w:b/>
          <w:bCs/>
          <w:color w:val="3E3E3E"/>
        </w:rPr>
      </w:pPr>
      <w:r w:rsidRPr="00EC771C">
        <w:rPr>
          <w:rFonts w:ascii="Karla" w:eastAsia="Karla" w:hAnsi="Karla" w:cs="Karla"/>
          <w:b/>
          <w:bCs/>
          <w:color w:val="3E3E3E"/>
        </w:rPr>
        <w:t xml:space="preserve">Review and strengthen the process to manage missed or cancelled patient review appointments. </w:t>
      </w:r>
    </w:p>
    <w:p w14:paraId="79F54AAC" w14:textId="77777777" w:rsidR="00EC771C" w:rsidRPr="00EC771C" w:rsidRDefault="00EC771C" w:rsidP="00EC771C">
      <w:pPr>
        <w:widowControl w:val="0"/>
        <w:tabs>
          <w:tab w:val="left" w:pos="6900"/>
        </w:tabs>
        <w:spacing w:after="120" w:line="240" w:lineRule="auto"/>
        <w:jc w:val="both"/>
        <w:rPr>
          <w:rFonts w:ascii="Karla" w:eastAsia="Karla" w:hAnsi="Karla" w:cs="Karla"/>
          <w:b/>
          <w:bCs/>
          <w:color w:val="3E3E3E"/>
        </w:rPr>
      </w:pPr>
      <w:r w:rsidRPr="00EC771C">
        <w:rPr>
          <w:rFonts w:ascii="Karla" w:eastAsia="Karla" w:hAnsi="Karla" w:cs="Karla"/>
          <w:b/>
          <w:bCs/>
          <w:color w:val="3E3E3E"/>
        </w:rPr>
        <w:t>Document the process for how to manage cancellations or missed review appointments. As part of this process consider:</w:t>
      </w:r>
    </w:p>
    <w:p w14:paraId="523EAB32" w14:textId="77777777" w:rsidR="00EC771C" w:rsidRPr="00EC771C" w:rsidRDefault="00EC771C" w:rsidP="00EC771C">
      <w:pPr>
        <w:widowControl w:val="0"/>
        <w:numPr>
          <w:ilvl w:val="2"/>
          <w:numId w:val="47"/>
        </w:numPr>
        <w:tabs>
          <w:tab w:val="left" w:pos="6900"/>
        </w:tabs>
        <w:spacing w:after="120" w:line="240" w:lineRule="auto"/>
        <w:ind w:left="992" w:hanging="567"/>
        <w:jc w:val="both"/>
        <w:rPr>
          <w:rFonts w:ascii="Karla" w:eastAsia="Karla" w:hAnsi="Karla" w:cs="Karla"/>
          <w:color w:val="3E3E3E"/>
        </w:rPr>
      </w:pPr>
      <w:r w:rsidRPr="00EC771C">
        <w:rPr>
          <w:rFonts w:ascii="Karla" w:eastAsia="Karla" w:hAnsi="Karla" w:cs="Karla"/>
          <w:color w:val="3E3E3E"/>
        </w:rPr>
        <w:t>How is the cancellation or non-attendance of review CCM appointments documented? For example, will your practice flag the patient’s file so the GP is notified next time the patient attends, or will you retain a list of patients that need to contacted and re-scheduled?</w:t>
      </w:r>
    </w:p>
    <w:p w14:paraId="493A8564" w14:textId="77777777" w:rsidR="00EC771C" w:rsidRPr="00EC771C" w:rsidRDefault="00EC771C" w:rsidP="00EC771C">
      <w:pPr>
        <w:widowControl w:val="0"/>
        <w:numPr>
          <w:ilvl w:val="2"/>
          <w:numId w:val="47"/>
        </w:numPr>
        <w:tabs>
          <w:tab w:val="left" w:pos="6900"/>
        </w:tabs>
        <w:spacing w:after="120" w:line="240" w:lineRule="auto"/>
        <w:ind w:left="992" w:hanging="567"/>
        <w:jc w:val="both"/>
        <w:rPr>
          <w:rFonts w:ascii="Karla" w:eastAsia="Karla" w:hAnsi="Karla" w:cs="Karla"/>
          <w:color w:val="3E3E3E"/>
        </w:rPr>
      </w:pPr>
      <w:r w:rsidRPr="00EC771C">
        <w:rPr>
          <w:rFonts w:ascii="Karla" w:eastAsia="Karla" w:hAnsi="Karla" w:cs="Karla"/>
          <w:color w:val="3E3E3E"/>
        </w:rPr>
        <w:t>Who needs to be notified? (e.g. Nurse or Aboriginal Health Practitioner with responsibility for Chronic Disease coordination, and the patients usual GP).</w:t>
      </w:r>
    </w:p>
    <w:p w14:paraId="651C1A34" w14:textId="77777777" w:rsidR="00EC771C" w:rsidRPr="00EC771C" w:rsidRDefault="00EC771C" w:rsidP="00EC771C">
      <w:pPr>
        <w:widowControl w:val="0"/>
        <w:numPr>
          <w:ilvl w:val="2"/>
          <w:numId w:val="47"/>
        </w:numPr>
        <w:tabs>
          <w:tab w:val="left" w:pos="6900"/>
        </w:tabs>
        <w:spacing w:after="120" w:line="240" w:lineRule="auto"/>
        <w:ind w:left="992" w:hanging="567"/>
        <w:jc w:val="both"/>
        <w:rPr>
          <w:rFonts w:ascii="Karla" w:eastAsia="Karla" w:hAnsi="Karla" w:cs="Karla"/>
          <w:color w:val="3E3E3E"/>
        </w:rPr>
      </w:pPr>
      <w:r w:rsidRPr="00EC771C">
        <w:rPr>
          <w:rFonts w:ascii="Karla" w:eastAsia="Karla" w:hAnsi="Karla" w:cs="Karla"/>
          <w:color w:val="3E3E3E"/>
        </w:rPr>
        <w:t>What are the standing arrangements for re-scheduling chronic condition review appointments? For example, does your practice aim to re-schedule within 2 weeks of the cancellation or follow up non-attendance with a phone call to reschedule as a standard operating procedure?</w:t>
      </w:r>
    </w:p>
    <w:p w14:paraId="022624AC" w14:textId="77777777" w:rsidR="00EC771C" w:rsidRPr="00EC771C" w:rsidRDefault="00EC771C" w:rsidP="00EC771C">
      <w:pPr>
        <w:widowControl w:val="0"/>
        <w:numPr>
          <w:ilvl w:val="2"/>
          <w:numId w:val="47"/>
        </w:numPr>
        <w:tabs>
          <w:tab w:val="left" w:pos="6900"/>
        </w:tabs>
        <w:spacing w:after="120" w:line="240" w:lineRule="auto"/>
        <w:ind w:left="992" w:hanging="567"/>
        <w:jc w:val="both"/>
        <w:rPr>
          <w:rFonts w:ascii="Karla" w:eastAsia="Karla" w:hAnsi="Karla" w:cs="Karla"/>
          <w:color w:val="3E3E3E"/>
        </w:rPr>
      </w:pPr>
      <w:r w:rsidRPr="00EC771C">
        <w:rPr>
          <w:rFonts w:ascii="Karla" w:eastAsia="Karla" w:hAnsi="Karla" w:cs="Karla"/>
          <w:color w:val="3E3E3E"/>
        </w:rPr>
        <w:t>Are there any data searches that need to be completed at regular intervals to identify any patients that may have missed their appointment but not been re-scheduled? For example, you could run a report from your clinical practice software for patients that have not had a review in more than 6 months and provide this list to a Nurse or Aboriginal Health Practitioner or Health Worker with responsibility for Chronic Condition coordination for them to follow up and re-schedule any patients that have missed their scheduled review.</w:t>
      </w:r>
    </w:p>
    <w:p w14:paraId="598006F2" w14:textId="141874B2" w:rsidR="009B1A9B" w:rsidRPr="00EC771C" w:rsidRDefault="009B1A9B" w:rsidP="00EC771C"/>
    <w:sectPr w:rsidR="009B1A9B" w:rsidRPr="00EC771C" w:rsidSect="007B01B9">
      <w:headerReference w:type="first" r:id="rId13"/>
      <w:footerReference w:type="first" r:id="rId14"/>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31FE" w14:textId="77777777" w:rsidR="00420F0E" w:rsidRDefault="00420F0E" w:rsidP="0065480B">
      <w:pPr>
        <w:spacing w:after="0" w:line="240" w:lineRule="auto"/>
      </w:pPr>
      <w:r>
        <w:separator/>
      </w:r>
    </w:p>
  </w:endnote>
  <w:endnote w:type="continuationSeparator" w:id="0">
    <w:p w14:paraId="1E8AD1CF" w14:textId="77777777" w:rsidR="00420F0E" w:rsidRDefault="00420F0E" w:rsidP="0065480B">
      <w:pPr>
        <w:spacing w:after="0" w:line="240" w:lineRule="auto"/>
      </w:pPr>
      <w:r>
        <w:continuationSeparator/>
      </w:r>
    </w:p>
  </w:endnote>
  <w:endnote w:type="continuationNotice" w:id="1">
    <w:p w14:paraId="62AB7594" w14:textId="77777777" w:rsidR="00420F0E" w:rsidRDefault="0042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886E" w14:textId="77777777" w:rsidR="00420F0E" w:rsidRDefault="00420F0E" w:rsidP="0065480B">
      <w:pPr>
        <w:spacing w:after="0" w:line="240" w:lineRule="auto"/>
      </w:pPr>
      <w:r>
        <w:separator/>
      </w:r>
    </w:p>
  </w:footnote>
  <w:footnote w:type="continuationSeparator" w:id="0">
    <w:p w14:paraId="73145A83" w14:textId="77777777" w:rsidR="00420F0E" w:rsidRDefault="00420F0E" w:rsidP="0065480B">
      <w:pPr>
        <w:spacing w:after="0" w:line="240" w:lineRule="auto"/>
      </w:pPr>
      <w:r>
        <w:continuationSeparator/>
      </w:r>
    </w:p>
  </w:footnote>
  <w:footnote w:type="continuationNotice" w:id="1">
    <w:p w14:paraId="55FC3D0C" w14:textId="77777777" w:rsidR="00420F0E" w:rsidRDefault="00420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7D7070"/>
    <w:multiLevelType w:val="hybridMultilevel"/>
    <w:tmpl w:val="56C8A4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C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756A5"/>
    <w:multiLevelType w:val="hybridMultilevel"/>
    <w:tmpl w:val="ED52F1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C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707294">
    <w:abstractNumId w:val="11"/>
  </w:num>
  <w:num w:numId="2" w16cid:durableId="75329946">
    <w:abstractNumId w:val="9"/>
  </w:num>
  <w:num w:numId="3" w16cid:durableId="2021739728">
    <w:abstractNumId w:val="13"/>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2102022049">
    <w:abstractNumId w:val="10"/>
  </w:num>
  <w:num w:numId="46" w16cid:durableId="1259752629">
    <w:abstractNumId w:val="14"/>
  </w:num>
  <w:num w:numId="47" w16cid:durableId="1201743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BC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C4A2E"/>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D3E20"/>
    <w:rsid w:val="008E1255"/>
    <w:rsid w:val="009217AD"/>
    <w:rsid w:val="00931B98"/>
    <w:rsid w:val="009321F1"/>
    <w:rsid w:val="00932A22"/>
    <w:rsid w:val="009611D8"/>
    <w:rsid w:val="009617FB"/>
    <w:rsid w:val="00967DC7"/>
    <w:rsid w:val="009913CA"/>
    <w:rsid w:val="009B1A9B"/>
    <w:rsid w:val="009B527D"/>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B0C9E"/>
    <w:rsid w:val="00BB4DE4"/>
    <w:rsid w:val="00BB7783"/>
    <w:rsid w:val="00BC3781"/>
    <w:rsid w:val="00BE08E7"/>
    <w:rsid w:val="00BF4B0B"/>
    <w:rsid w:val="00C01EC7"/>
    <w:rsid w:val="00C218B4"/>
    <w:rsid w:val="00C532A9"/>
    <w:rsid w:val="00C5374A"/>
    <w:rsid w:val="00C5704A"/>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44F1C"/>
    <w:rsid w:val="00E47EE1"/>
    <w:rsid w:val="00E5233B"/>
    <w:rsid w:val="00E62C84"/>
    <w:rsid w:val="00E737AC"/>
    <w:rsid w:val="00E73815"/>
    <w:rsid w:val="00E8426D"/>
    <w:rsid w:val="00E962BD"/>
    <w:rsid w:val="00EC1220"/>
    <w:rsid w:val="00EC23A9"/>
    <w:rsid w:val="00EC771C"/>
    <w:rsid w:val="00ED429F"/>
    <w:rsid w:val="00EE22EF"/>
    <w:rsid w:val="00EE6D2F"/>
    <w:rsid w:val="00EF2825"/>
    <w:rsid w:val="00EF613C"/>
    <w:rsid w:val="00F03233"/>
    <w:rsid w:val="00F533D2"/>
    <w:rsid w:val="00F57976"/>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f15114bf-cbc5-46b2-bf86-2f76ecbc1e48"/>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6F26195B-12D8-4726-864B-D2B0B959883D}"/>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Alana Court</cp:lastModifiedBy>
  <cp:revision>2</cp:revision>
  <cp:lastPrinted>2015-08-24T00:46:00Z</cp:lastPrinted>
  <dcterms:created xsi:type="dcterms:W3CDTF">2025-06-25T05:59:00Z</dcterms:created>
  <dcterms:modified xsi:type="dcterms:W3CDTF">2025-06-25T05:59:00Z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